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6D" w:rsidRDefault="00F1006D" w:rsidP="00F1006D">
      <w:pPr>
        <w:jc w:val="both"/>
        <w:rPr>
          <w:rFonts w:asciiTheme="minorHAnsi" w:eastAsiaTheme="minorHAnsi" w:hAnsiTheme="minorHAnsi"/>
        </w:rPr>
      </w:pPr>
    </w:p>
    <w:p w:rsidR="00F1006D" w:rsidRDefault="00F1006D" w:rsidP="00F1006D">
      <w:pPr>
        <w:jc w:val="both"/>
      </w:pPr>
      <w:proofErr w:type="spellStart"/>
      <w:proofErr w:type="gramStart"/>
      <w:r>
        <w:t>pandemia</w:t>
      </w:r>
      <w:proofErr w:type="spellEnd"/>
      <w:proofErr w:type="gramEnd"/>
    </w:p>
    <w:p w:rsidR="00F1006D" w:rsidRDefault="00F1006D" w:rsidP="00F1006D">
      <w:pPr>
        <w:pStyle w:val="ListParagraph"/>
        <w:numPr>
          <w:ilvl w:val="0"/>
          <w:numId w:val="12"/>
        </w:numPr>
        <w:spacing w:after="0" w:line="240" w:lineRule="auto"/>
        <w:jc w:val="both"/>
      </w:pPr>
      <w:r>
        <w:rPr>
          <w:rFonts w:ascii="Sylfaen" w:hAnsi="Sylfaen"/>
          <w:color w:val="000000"/>
          <w:lang w:val="ka-GE"/>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ამასთან, განსახორციელებელი საკომპენსაციო ზომების ფარგლებში, შესაბამის სამიზნე ჯგუფებს არ შეუჩერდათ და უწყვეტად გაუგრძელდათ სახელმწიფო გასაცემლების მიღება, მიუხედავად კანონმდებლობით დადგენილი შეჩერების საფუძვლ(ებ)ის წარმოშობისა;</w:t>
      </w:r>
    </w:p>
    <w:p w:rsidR="00F1006D" w:rsidRDefault="00F1006D" w:rsidP="00F1006D">
      <w:pPr>
        <w:pStyle w:val="ListParagraph"/>
        <w:numPr>
          <w:ilvl w:val="0"/>
          <w:numId w:val="12"/>
        </w:numPr>
        <w:spacing w:after="0" w:line="240" w:lineRule="auto"/>
        <w:jc w:val="both"/>
      </w:pPr>
      <w:r>
        <w:rPr>
          <w:rFonts w:ascii="Sylfaen" w:hAnsi="Sylfaen"/>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განხორცილდა მოსახლეობის სოციალური დახმარება კომუნალური გადასახადების სუბსიდირებით</w:t>
      </w:r>
      <w:r>
        <w:rPr>
          <w:rFonts w:ascii="Sylfaen" w:hAnsi="Sylfaen"/>
          <w:color w:val="000000"/>
        </w:rPr>
        <w:t>,</w:t>
      </w:r>
      <w:r>
        <w:rPr>
          <w:rFonts w:ascii="Sylfaen" w:hAnsi="Sylfaen"/>
          <w:color w:val="000000"/>
          <w:lang w:val="ka-GE"/>
        </w:rPr>
        <w:t xml:space="preserve"> კერძოდ: ელექტროენერგიის 200 კილოვატ/საათი ან 200 კილოვატ/საათზე ნაკლები მოცულობის, ბუნებრივი გაზის 200 მ³ ან 200 მ³-ზე ნაკლები მოცულობის, ასევე სასმელი წყლის/წყალარინების და დასუფთავების მოსაკრებლის  გადასახადის სუბსიდირება. </w:t>
      </w:r>
      <w:proofErr w:type="spellStart"/>
      <w:r>
        <w:rPr>
          <w:rFonts w:ascii="Sylfaen" w:hAnsi="Sylfaen"/>
        </w:rPr>
        <w:t>სულ</w:t>
      </w:r>
      <w:proofErr w:type="spellEnd"/>
      <w:r>
        <w:t xml:space="preserve"> </w:t>
      </w:r>
      <w:proofErr w:type="spellStart"/>
      <w:r>
        <w:rPr>
          <w:rFonts w:ascii="Sylfaen" w:hAnsi="Sylfaen"/>
        </w:rPr>
        <w:t>საანგარიშო</w:t>
      </w:r>
      <w:proofErr w:type="spellEnd"/>
      <w:r>
        <w:t xml:space="preserve"> </w:t>
      </w:r>
      <w:proofErr w:type="spellStart"/>
      <w:r>
        <w:rPr>
          <w:rFonts w:ascii="Sylfaen" w:hAnsi="Sylfaen"/>
        </w:rPr>
        <w:t>პერიოდში</w:t>
      </w:r>
      <w:proofErr w:type="spellEnd"/>
      <w:r>
        <w:t xml:space="preserve">  </w:t>
      </w:r>
      <w:proofErr w:type="spellStart"/>
      <w:r>
        <w:rPr>
          <w:rFonts w:ascii="Sylfaen" w:hAnsi="Sylfaen"/>
        </w:rPr>
        <w:t>აღნ</w:t>
      </w:r>
      <w:proofErr w:type="spellEnd"/>
      <w:r>
        <w:rPr>
          <w:rFonts w:ascii="Sylfaen" w:hAnsi="Sylfaen"/>
          <w:lang w:val="ka-GE"/>
        </w:rPr>
        <w:t>ი</w:t>
      </w:r>
      <w:proofErr w:type="spellStart"/>
      <w:r>
        <w:rPr>
          <w:rFonts w:ascii="Sylfaen" w:hAnsi="Sylfaen"/>
        </w:rPr>
        <w:t>შნული</w:t>
      </w:r>
      <w:proofErr w:type="spellEnd"/>
      <w:r>
        <w:t xml:space="preserve"> </w:t>
      </w:r>
      <w:proofErr w:type="spellStart"/>
      <w:r>
        <w:rPr>
          <w:rFonts w:ascii="Sylfaen" w:hAnsi="Sylfaen"/>
        </w:rPr>
        <w:t>მიზნით</w:t>
      </w:r>
      <w:proofErr w:type="spellEnd"/>
      <w:r>
        <w:t xml:space="preserve"> </w:t>
      </w:r>
      <w:proofErr w:type="spellStart"/>
      <w:r>
        <w:rPr>
          <w:rFonts w:ascii="Sylfaen" w:hAnsi="Sylfaen"/>
        </w:rPr>
        <w:t>გადარიცხულ</w:t>
      </w:r>
      <w:proofErr w:type="spellEnd"/>
      <w:r>
        <w:t xml:space="preserve"> </w:t>
      </w:r>
      <w:proofErr w:type="spellStart"/>
      <w:r>
        <w:rPr>
          <w:rFonts w:ascii="Sylfaen" w:hAnsi="Sylfaen"/>
        </w:rPr>
        <w:t>იქნა</w:t>
      </w:r>
      <w:proofErr w:type="spellEnd"/>
      <w:r>
        <w:t xml:space="preserve"> </w:t>
      </w:r>
      <w:r>
        <w:rPr>
          <w:rFonts w:ascii="Sylfaen" w:hAnsi="Sylfaen"/>
          <w:lang w:val="ka-GE"/>
        </w:rPr>
        <w:t>172</w:t>
      </w:r>
      <w:r>
        <w:t xml:space="preserve">.7 </w:t>
      </w:r>
      <w:proofErr w:type="spellStart"/>
      <w:r>
        <w:rPr>
          <w:rFonts w:ascii="Sylfaen" w:hAnsi="Sylfaen"/>
        </w:rPr>
        <w:t>მლნ</w:t>
      </w:r>
      <w:proofErr w:type="spellEnd"/>
      <w:r>
        <w:t xml:space="preserve"> </w:t>
      </w:r>
      <w:proofErr w:type="spellStart"/>
      <w:r>
        <w:rPr>
          <w:rFonts w:ascii="Sylfaen" w:hAnsi="Sylfaen"/>
        </w:rPr>
        <w:t>ლარი</w:t>
      </w:r>
      <w:proofErr w:type="spellEnd"/>
      <w:r>
        <w:t xml:space="preserve">; </w:t>
      </w:r>
    </w:p>
    <w:p w:rsidR="00F1006D" w:rsidRDefault="00F1006D" w:rsidP="00F1006D">
      <w:pPr>
        <w:pStyle w:val="ListParagraph"/>
        <w:numPr>
          <w:ilvl w:val="0"/>
          <w:numId w:val="12"/>
        </w:numPr>
        <w:spacing w:after="0" w:line="240" w:lineRule="auto"/>
        <w:jc w:val="both"/>
      </w:pPr>
      <w:r>
        <w:rPr>
          <w:rFonts w:ascii="Sylfaen" w:hAnsi="Sylfaen"/>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განხორციელდა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 კერძოდ: 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და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თვე); ასევე გაიცა დაქირავებით მომუშავე ფიზიკური პირებისთვის ყოველთვიურად 200 ლარის </w:t>
      </w:r>
      <w:r>
        <w:rPr>
          <w:rFonts w:ascii="Sylfaen" w:hAnsi="Sylfaen"/>
          <w:strike/>
          <w:color w:val="FF0000"/>
          <w:highlight w:val="yellow"/>
          <w:lang w:val="ka-GE"/>
        </w:rPr>
        <w:t>(215.9 ათას პირზე),</w:t>
      </w:r>
      <w:r>
        <w:rPr>
          <w:rFonts w:ascii="Sylfaen" w:hAnsi="Sylfaen"/>
          <w:color w:val="FF0000"/>
          <w:highlight w:val="yellow"/>
          <w:lang w:val="ka-GE"/>
        </w:rPr>
        <w:t xml:space="preserve"> </w:t>
      </w:r>
      <w:r>
        <w:rPr>
          <w:rFonts w:ascii="Sylfaen" w:hAnsi="Sylfaen"/>
          <w:color w:val="000000"/>
          <w:lang w:val="ka-GE"/>
        </w:rPr>
        <w:t>ხოლო 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 (</w:t>
      </w:r>
      <w:r>
        <w:rPr>
          <w:rFonts w:ascii="Sylfaen" w:hAnsi="Sylfaen"/>
          <w:color w:val="000000"/>
        </w:rPr>
        <w:t>248.2</w:t>
      </w:r>
      <w:r>
        <w:rPr>
          <w:rFonts w:ascii="Sylfaen" w:hAnsi="Sylfaen"/>
          <w:color w:val="000000"/>
          <w:lang w:val="ka-GE"/>
        </w:rPr>
        <w:t xml:space="preserve"> ათას პირზე). </w:t>
      </w:r>
      <w:proofErr w:type="spellStart"/>
      <w:r>
        <w:rPr>
          <w:rFonts w:ascii="Sylfaen" w:hAnsi="Sylfaen"/>
        </w:rPr>
        <w:t>სულ</w:t>
      </w:r>
      <w:proofErr w:type="spellEnd"/>
      <w:r>
        <w:t xml:space="preserve"> </w:t>
      </w:r>
      <w:proofErr w:type="spellStart"/>
      <w:r>
        <w:rPr>
          <w:rFonts w:ascii="Sylfaen" w:hAnsi="Sylfaen"/>
        </w:rPr>
        <w:t>საანგარიშო</w:t>
      </w:r>
      <w:proofErr w:type="spellEnd"/>
      <w:r>
        <w:t xml:space="preserve"> </w:t>
      </w:r>
      <w:proofErr w:type="spellStart"/>
      <w:r>
        <w:rPr>
          <w:rFonts w:ascii="Sylfaen" w:hAnsi="Sylfaen"/>
        </w:rPr>
        <w:t>პერიოდში</w:t>
      </w:r>
      <w:proofErr w:type="spellEnd"/>
      <w:r>
        <w:t xml:space="preserve">  </w:t>
      </w:r>
      <w:proofErr w:type="spellStart"/>
      <w:r>
        <w:rPr>
          <w:rFonts w:ascii="Sylfaen" w:hAnsi="Sylfaen"/>
        </w:rPr>
        <w:t>აღნ</w:t>
      </w:r>
      <w:proofErr w:type="spellEnd"/>
      <w:r>
        <w:rPr>
          <w:rFonts w:ascii="Sylfaen" w:hAnsi="Sylfaen"/>
          <w:lang w:val="ka-GE"/>
        </w:rPr>
        <w:t>ი</w:t>
      </w:r>
      <w:proofErr w:type="spellStart"/>
      <w:r>
        <w:rPr>
          <w:rFonts w:ascii="Sylfaen" w:hAnsi="Sylfaen"/>
        </w:rPr>
        <w:t>შნული</w:t>
      </w:r>
      <w:proofErr w:type="spellEnd"/>
      <w:r>
        <w:rPr>
          <w:rFonts w:ascii="Sylfaen" w:hAnsi="Sylfaen"/>
        </w:rPr>
        <w:t xml:space="preserve"> </w:t>
      </w:r>
      <w:r>
        <w:rPr>
          <w:rFonts w:ascii="Sylfaen" w:hAnsi="Sylfaen"/>
          <w:lang w:val="ka-GE"/>
        </w:rPr>
        <w:t>ღონისძიებების დასაფინანსებლად</w:t>
      </w:r>
      <w:r>
        <w:rPr>
          <w:lang w:val="ka-GE"/>
        </w:rPr>
        <w:t xml:space="preserve"> </w:t>
      </w:r>
      <w:proofErr w:type="spellStart"/>
      <w:r>
        <w:rPr>
          <w:rFonts w:ascii="Sylfaen" w:hAnsi="Sylfaen"/>
        </w:rPr>
        <w:t>გადარიცხულ</w:t>
      </w:r>
      <w:proofErr w:type="spellEnd"/>
      <w:r>
        <w:t xml:space="preserve"> </w:t>
      </w:r>
      <w:proofErr w:type="spellStart"/>
      <w:r>
        <w:rPr>
          <w:rFonts w:ascii="Sylfaen" w:hAnsi="Sylfaen"/>
        </w:rPr>
        <w:t>იქნა</w:t>
      </w:r>
      <w:proofErr w:type="spellEnd"/>
      <w:r>
        <w:t xml:space="preserve"> </w:t>
      </w:r>
      <w:r>
        <w:rPr>
          <w:rFonts w:ascii="Sylfaen" w:hAnsi="Sylfaen"/>
        </w:rPr>
        <w:t>255.5</w:t>
      </w:r>
      <w:r>
        <w:rPr>
          <w:lang w:val="ka-GE"/>
        </w:rPr>
        <w:t xml:space="preserve"> </w:t>
      </w:r>
      <w:proofErr w:type="spellStart"/>
      <w:r>
        <w:rPr>
          <w:rFonts w:ascii="Sylfaen" w:hAnsi="Sylfaen"/>
        </w:rPr>
        <w:t>მლნ</w:t>
      </w:r>
      <w:proofErr w:type="spellEnd"/>
      <w:r>
        <w:t xml:space="preserve"> </w:t>
      </w:r>
      <w:proofErr w:type="spellStart"/>
      <w:r>
        <w:rPr>
          <w:rFonts w:ascii="Sylfaen" w:hAnsi="Sylfaen"/>
        </w:rPr>
        <w:t>ლარი</w:t>
      </w:r>
      <w:proofErr w:type="spellEnd"/>
      <w:r>
        <w:t>;</w:t>
      </w:r>
      <w:r>
        <w:rPr>
          <w:lang w:val="ka-GE"/>
        </w:rPr>
        <w:t xml:space="preserve"> </w:t>
      </w:r>
      <w:r>
        <w:rPr>
          <w:rFonts w:ascii="Sylfaen" w:hAnsi="Sylfaen"/>
          <w:color w:val="000000"/>
        </w:rPr>
        <w:t xml:space="preserve"> </w:t>
      </w:r>
      <w:r>
        <w:rPr>
          <w:rFonts w:ascii="Sylfaen" w:hAnsi="Sylfaen"/>
          <w:color w:val="000000"/>
          <w:highlight w:val="yellow"/>
        </w:rPr>
        <w:t>(</w:t>
      </w:r>
      <w:r>
        <w:rPr>
          <w:rFonts w:ascii="Sylfaen" w:hAnsi="Sylfaen"/>
          <w:color w:val="000000"/>
          <w:highlight w:val="yellow"/>
          <w:lang w:val="ka-GE"/>
        </w:rPr>
        <w:t>აქ დავაჯამე 27020602 და 03)</w:t>
      </w:r>
    </w:p>
    <w:p w:rsidR="00F1006D" w:rsidRDefault="00F1006D" w:rsidP="00F1006D">
      <w:pPr>
        <w:pStyle w:val="ListParagraph"/>
        <w:numPr>
          <w:ilvl w:val="0"/>
          <w:numId w:val="12"/>
        </w:numPr>
        <w:spacing w:after="0" w:line="240" w:lineRule="auto"/>
        <w:jc w:val="both"/>
        <w:rPr>
          <w:rFonts w:ascii="Sylfaen" w:hAnsi="Sylfaen"/>
          <w:color w:val="000000"/>
          <w:lang w:val="ka-GE"/>
        </w:rPr>
      </w:pPr>
      <w:r>
        <w:rPr>
          <w:rFonts w:ascii="Sylfaen" w:hAnsi="Sylfaen"/>
          <w:color w:val="000000"/>
          <w:lang w:val="ka-GE"/>
        </w:rPr>
        <w:t>ახალი კორონავირუსის შესაძლო გავრცელების აღკვეთი ღონისძიებებისა და  აღნიშნული ვირუსით გამოწვეული დაავადების შემთხვევებზე ოპერატიული რეაგირების გეგმის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საზოგადოებივი ჯანმრთელობის  ეროვნულ ცენტრსა და  ყველა შესაბამის სახელმწიფო უწყებასთან კოორდინაციით და  აგრეთვე, ჯანდაცვის მსოფლიო ორგანიზაციის რეკომენდაციების გათვალისწინებით, საანგარიშო პერიოდში განხორციელდა ქვეყანაში „COVID – 19“-</w:t>
      </w:r>
      <w:r>
        <w:rPr>
          <w:rFonts w:ascii="Sylfaen" w:hAnsi="Sylfaen"/>
          <w:color w:val="000000"/>
          <w:lang w:val="ka-GE"/>
        </w:rPr>
        <w:lastRenderedPageBreak/>
        <w:t xml:space="preserve">ის   მასიური გავრცელების რისკების შემცირებისა და თავიდან აცილების რიგი ღონისძიებები (შესყიდული და სხვადასხვა უწყებებში გადაცემულ იქნა ინდივიდუალური დამცავი საშუალებები, დეფიბრილატორები, სუნთქვის აპარატები, პაციენტის დაკვირვების მონიტორები, უკონტაქტო ელექტრო თერმომეტრები, თხევადი სამედიცინო ჟანგბადები და სხვა. გარდა ამისა, გაწეულ იქნა ხარჯი საკარანტინო ზონების მოწყობისათვის). ასევე, განხორციელდა საკარანტინე სივრცეების სასტუმრო მომსახურება/სამედიცინო მეთვალყურეობა, 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უზრუნველყოფა, საეჭვო და დადასტურებელი შემთხვევის მართვა და მათი სტაციონარული მკურნალობა. სულ ამ მიზნით საანგარიშო პერიოდში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ხაზით მიმართულ იქნა </w:t>
      </w:r>
      <w:r>
        <w:rPr>
          <w:rFonts w:ascii="Sylfaen" w:hAnsi="Sylfaen"/>
          <w:color w:val="000000"/>
          <w:highlight w:val="yellow"/>
        </w:rPr>
        <w:t>42</w:t>
      </w:r>
      <w:r>
        <w:rPr>
          <w:rFonts w:ascii="Sylfaen" w:hAnsi="Sylfaen"/>
          <w:color w:val="000000"/>
          <w:highlight w:val="yellow"/>
          <w:lang w:val="ka-GE"/>
        </w:rPr>
        <w:t>.0</w:t>
      </w:r>
      <w:r>
        <w:rPr>
          <w:rFonts w:ascii="Sylfaen" w:hAnsi="Sylfaen"/>
          <w:color w:val="000000"/>
          <w:lang w:val="ka-GE"/>
        </w:rPr>
        <w:t xml:space="preserve"> </w:t>
      </w:r>
      <w:r>
        <w:rPr>
          <w:rFonts w:ascii="Sylfaen" w:hAnsi="Sylfaen"/>
          <w:color w:val="000000"/>
          <w:highlight w:val="yellow"/>
        </w:rPr>
        <w:t>(</w:t>
      </w:r>
      <w:r>
        <w:rPr>
          <w:rFonts w:ascii="Sylfaen" w:hAnsi="Sylfaen"/>
          <w:color w:val="000000"/>
          <w:highlight w:val="yellow"/>
          <w:lang w:val="ka-GE"/>
        </w:rPr>
        <w:t>აქ დავაჯამე 2703031102 და 03)</w:t>
      </w:r>
      <w:r>
        <w:rPr>
          <w:rFonts w:ascii="Sylfaen" w:hAnsi="Sylfaen"/>
          <w:color w:val="000000"/>
          <w:lang w:val="ka-GE"/>
        </w:rPr>
        <w:t xml:space="preserve"> მლნ ლარზე მეტი;</w:t>
      </w:r>
    </w:p>
    <w:p w:rsidR="00F1006D" w:rsidRDefault="00F1006D" w:rsidP="00F1006D">
      <w:pPr>
        <w:rPr>
          <w:rFonts w:asciiTheme="minorHAnsi" w:hAnsiTheme="minorHAnsi"/>
        </w:rPr>
      </w:pPr>
    </w:p>
    <w:p w:rsidR="00F1006D" w:rsidRDefault="00F1006D" w:rsidP="00F1006D">
      <w:r>
        <w:t>TOPI</w:t>
      </w:r>
    </w:p>
    <w:p w:rsidR="00F1006D" w:rsidRDefault="00F1006D" w:rsidP="00F1006D"/>
    <w:p w:rsidR="00F1006D" w:rsidRDefault="00F1006D" w:rsidP="00F1006D"/>
    <w:p w:rsidR="00F1006D" w:rsidRDefault="00F1006D" w:rsidP="00F1006D">
      <w:pPr>
        <w:pStyle w:val="abzacixml"/>
        <w:numPr>
          <w:ilvl w:val="0"/>
          <w:numId w:val="11"/>
        </w:numPr>
        <w:ind w:left="360"/>
      </w:pPr>
      <w: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სულ საანგარიშო პერიოდში  მოსახლეობის საპენსიო უზრუნველყოფის მიზნით გადარიცხულ იქნა 1 662.0  მლნ ლარამდე; </w:t>
      </w:r>
    </w:p>
    <w:p w:rsidR="00F1006D" w:rsidRDefault="00F1006D" w:rsidP="00F1006D">
      <w:pPr>
        <w:pStyle w:val="abzacixml"/>
        <w:numPr>
          <w:ilvl w:val="0"/>
          <w:numId w:val="11"/>
        </w:numPr>
        <w:ind w:left="360"/>
      </w:pPr>
      <w:r>
        <w:t>მოსახლეობის მიზნობრივი ჯგუფების სოციალური დახმარების პროგრამის ფარგლებში ქვეყნის მასშტაბით მიმდინარეობდა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ასევე,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1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2020 წლის პირველი იანვრიდან 20 ლარით გაიზარდა მკვეთრად და მნიშვნელოვნად გამოხატული და 18 წლამდე ასაკის შშმ პირთა სოციალური პაკეტის ოდენობა.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590.0 მლნ ლარამდე;</w:t>
      </w:r>
    </w:p>
    <w:p w:rsidR="00F1006D" w:rsidRDefault="00F1006D" w:rsidP="00F1006D">
      <w:pPr>
        <w:pStyle w:val="abzacixml"/>
        <w:numPr>
          <w:ilvl w:val="0"/>
          <w:numId w:val="11"/>
        </w:numPr>
        <w:ind w:left="360"/>
      </w:pPr>
      <w:r>
        <w:lastRenderedPageBreak/>
        <w:t>„მაღალმთიანი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ასევე სოციალური პაკეტის მიმღებები - დანამატის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სულ ამ მიზნით საანგარიშო პერიოდში მიმართულ იქნა 43.4 მლნ ლარი;</w:t>
      </w:r>
    </w:p>
    <w:p w:rsidR="00F1006D" w:rsidRDefault="00F1006D" w:rsidP="00F1006D">
      <w:pPr>
        <w:pStyle w:val="abzacixml"/>
        <w:numPr>
          <w:ilvl w:val="0"/>
          <w:numId w:val="11"/>
        </w:numPr>
        <w:ind w:left="360"/>
      </w:pPr>
      <w:r>
        <w:t>„მოსახლეობის საყოველთაო ჯანმრთელობის დაცვის პროგრამის“ ფარგლებში უწყვეტად ხორციელდება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მ.შ.  კარდიოქირურგიისა და ონკოლოგიური დაავადებების ქირურგია; ონკოლოგიური დაავადებების მკურნალობა - ქიმიო/ჰორმონო და სხივური თერაპია;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ფინანსური და გეოგრაფიული ხელმისაწვდომობის გაზრდის გზით,   ასევე,  მოსახლეობის ქრონიკული დაავადებების სამკურნალო მედიკამენტებით უზრუნველყოფა. სულ ამ მიზნით საანგარიშო პერიოდში მიმართულ იქნა 742.0 მლნ ლარი;</w:t>
      </w:r>
    </w:p>
    <w:p w:rsidR="00F1006D" w:rsidRDefault="00F1006D" w:rsidP="00F1006D">
      <w:pPr>
        <w:pStyle w:val="abzacixml"/>
        <w:numPr>
          <w:ilvl w:val="0"/>
          <w:numId w:val="11"/>
        </w:numPr>
        <w:ind w:left="360"/>
      </w:pPr>
      <w:r>
        <w:t>სამედიცინო დაწესებულებათა რეაბილიტაცია და აღჭურვის პროგრამის ფარგლებში 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r>
        <w:rPr>
          <w:rFonts w:ascii="Times New Roman" w:hAnsi="Times New Roman" w:cs="Times New Roman"/>
        </w:rPr>
        <w:t>​</w:t>
      </w:r>
    </w:p>
    <w:p w:rsidR="00F1006D" w:rsidRDefault="00F1006D" w:rsidP="00F1006D">
      <w:pPr>
        <w:pStyle w:val="abzacixml"/>
        <w:numPr>
          <w:ilvl w:val="0"/>
          <w:numId w:val="11"/>
        </w:numPr>
        <w:ind w:left="360"/>
      </w:pPr>
      <w:r>
        <w:t xml:space="preserve">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დაუფინანსდა საცხოვრებელი ფართების დაქირავება (ყოველთვიურად 50-დან 300 ლარამდე); </w:t>
      </w:r>
    </w:p>
    <w:p w:rsidR="00F1006D" w:rsidRDefault="00F1006D" w:rsidP="00F1006D">
      <w:pPr>
        <w:pStyle w:val="abzacixml"/>
        <w:numPr>
          <w:ilvl w:val="0"/>
          <w:numId w:val="11"/>
        </w:numPr>
        <w:ind w:left="360"/>
        <w:rPr>
          <w:highlight w:val="yellow"/>
        </w:rPr>
      </w:pPr>
      <w: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რომლის ფარგლებშიც კერძო საკუთრებაში ბინა გადაეცა 788 ოჯახს, თბილისსა და საქართველოს სხვადასხვა რეგიონში შეძენილ იქნა  562 საცხოვრებელი სახლი (თბილისი - 188, იმერეთის რეგიონი - 30, სამეგრელოს რეგიონი - 344). მიმდინარეობდა ზოგიერთი ობიექტის სარემონტო/სარეაბილიტაციო და კეთილმოწყობის სამუშაოები. გრძელვადიანი საცხოვრებლით ახალაშენებულ კორპუსებში დაკმაყოფილდა 461 ოჯახი;</w:t>
      </w:r>
    </w:p>
    <w:p w:rsidR="00D10CB7" w:rsidRPr="00F1006D" w:rsidRDefault="00D10CB7" w:rsidP="00F1006D">
      <w:bookmarkStart w:id="0" w:name="_GoBack"/>
      <w:bookmarkEnd w:id="0"/>
    </w:p>
    <w:sectPr w:rsidR="00D10CB7" w:rsidRPr="00F1006D" w:rsidSect="00C05B77">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BD3B46"/>
    <w:multiLevelType w:val="hybridMultilevel"/>
    <w:tmpl w:val="4462DD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A7C46"/>
    <w:multiLevelType w:val="hybridMultilevel"/>
    <w:tmpl w:val="D0B415EE"/>
    <w:lvl w:ilvl="0" w:tplc="89C27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417D0"/>
    <w:multiLevelType w:val="hybridMultilevel"/>
    <w:tmpl w:val="98F0BADE"/>
    <w:lvl w:ilvl="0" w:tplc="0409000D">
      <w:start w:val="1"/>
      <w:numFmt w:val="bullet"/>
      <w:lvlText w:val=""/>
      <w:lvlJc w:val="left"/>
      <w:pPr>
        <w:ind w:left="1410" w:hanging="360"/>
      </w:pPr>
      <w:rPr>
        <w:rFonts w:ascii="Wingdings" w:hAnsi="Wingdings" w:cs="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6040318E"/>
    <w:multiLevelType w:val="hybridMultilevel"/>
    <w:tmpl w:val="AF54CC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C347B3"/>
    <w:multiLevelType w:val="hybridMultilevel"/>
    <w:tmpl w:val="A58EA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7A1672DA"/>
    <w:multiLevelType w:val="hybridMultilevel"/>
    <w:tmpl w:val="E0EC5D9E"/>
    <w:lvl w:ilvl="0" w:tplc="F140D452">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D9F1A3E"/>
    <w:multiLevelType w:val="hybridMultilevel"/>
    <w:tmpl w:val="069AB74A"/>
    <w:lvl w:ilvl="0" w:tplc="3FEA88B0">
      <w:start w:val="1"/>
      <w:numFmt w:val="bullet"/>
      <w:pStyle w:val="abzacixml"/>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4"/>
  </w:num>
  <w:num w:numId="5">
    <w:abstractNumId w:val="5"/>
  </w:num>
  <w:num w:numId="6">
    <w:abstractNumId w:val="7"/>
  </w:num>
  <w:num w:numId="7">
    <w:abstractNumId w:val="1"/>
  </w:num>
  <w:num w:numId="8">
    <w:abstractNumId w:val="2"/>
  </w:num>
  <w:num w:numId="9">
    <w:abstractNumId w:val="3"/>
  </w:num>
  <w:num w:numId="10">
    <w:abstractNumId w:val="0"/>
  </w:num>
  <w:num w:numId="11">
    <w:abstractNumId w:val="4"/>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04"/>
    <w:rsid w:val="001108E0"/>
    <w:rsid w:val="00186C84"/>
    <w:rsid w:val="00331FB1"/>
    <w:rsid w:val="003D2BDD"/>
    <w:rsid w:val="00493E45"/>
    <w:rsid w:val="00590D09"/>
    <w:rsid w:val="005A27EC"/>
    <w:rsid w:val="005C1F43"/>
    <w:rsid w:val="00607C34"/>
    <w:rsid w:val="008F304D"/>
    <w:rsid w:val="00901B3A"/>
    <w:rsid w:val="00B04BD5"/>
    <w:rsid w:val="00B22FA6"/>
    <w:rsid w:val="00B27394"/>
    <w:rsid w:val="00C05B77"/>
    <w:rsid w:val="00CC25EE"/>
    <w:rsid w:val="00CF7804"/>
    <w:rsid w:val="00D10CB7"/>
    <w:rsid w:val="00D940D8"/>
    <w:rsid w:val="00E14416"/>
    <w:rsid w:val="00E50F71"/>
    <w:rsid w:val="00EC1388"/>
    <w:rsid w:val="00EE0988"/>
    <w:rsid w:val="00F1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C046C-3A04-4B15-BFC6-C0A6ABBA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98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EE0988"/>
    <w:pPr>
      <w:ind w:left="720"/>
      <w:contextualSpacing/>
    </w:pPr>
  </w:style>
  <w:style w:type="paragraph" w:customStyle="1" w:styleId="abzacixml">
    <w:name w:val="abzaci_xml"/>
    <w:basedOn w:val="PlainText"/>
    <w:link w:val="abzacixmlChar"/>
    <w:autoRedefine/>
    <w:qFormat/>
    <w:rsid w:val="00EE0988"/>
    <w:pPr>
      <w:numPr>
        <w:numId w:val="1"/>
      </w:numPr>
      <w:jc w:val="both"/>
    </w:pPr>
    <w:rPr>
      <w:rFonts w:ascii="Sylfaen" w:eastAsia="Times New Roman" w:hAnsi="Sylfaen" w:cs="Sylfaen"/>
      <w:lang w:val="ka-GE"/>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EE0988"/>
    <w:rPr>
      <w:rFonts w:ascii="Calibri" w:eastAsia="Calibri" w:hAnsi="Calibri" w:cs="Times New Roman"/>
    </w:rPr>
  </w:style>
  <w:style w:type="character" w:customStyle="1" w:styleId="abzacixmlChar">
    <w:name w:val="abzaci_xml Char"/>
    <w:basedOn w:val="PlainTextChar"/>
    <w:link w:val="abzacixml"/>
    <w:qFormat/>
    <w:rsid w:val="00EE0988"/>
    <w:rPr>
      <w:rFonts w:ascii="Sylfaen" w:eastAsia="Times New Roman" w:hAnsi="Sylfaen" w:cs="Sylfaen"/>
      <w:sz w:val="21"/>
      <w:szCs w:val="21"/>
      <w:lang w:val="ka-GE"/>
    </w:rPr>
  </w:style>
  <w:style w:type="paragraph" w:styleId="PlainText">
    <w:name w:val="Plain Text"/>
    <w:basedOn w:val="Normal"/>
    <w:link w:val="PlainTextChar"/>
    <w:uiPriority w:val="99"/>
    <w:semiHidden/>
    <w:unhideWhenUsed/>
    <w:rsid w:val="00EE098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0988"/>
    <w:rPr>
      <w:rFonts w:ascii="Consolas" w:eastAsia="Calibri" w:hAnsi="Consolas" w:cs="Times New Roman"/>
      <w:sz w:val="21"/>
      <w:szCs w:val="21"/>
    </w:rPr>
  </w:style>
  <w:style w:type="character" w:customStyle="1" w:styleId="nanospell-typo">
    <w:name w:val="nanospell-typo"/>
    <w:rsid w:val="00EE0988"/>
  </w:style>
  <w:style w:type="table" w:styleId="TableGrid">
    <w:name w:val="Table Grid"/>
    <w:basedOn w:val="TableNormal"/>
    <w:uiPriority w:val="59"/>
    <w:rsid w:val="00590D0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1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Javakhadze</dc:creator>
  <cp:keywords/>
  <dc:description/>
  <cp:lastModifiedBy>Irine Javakhadze</cp:lastModifiedBy>
  <cp:revision>34</cp:revision>
  <dcterms:created xsi:type="dcterms:W3CDTF">2020-07-16T08:52:00Z</dcterms:created>
  <dcterms:modified xsi:type="dcterms:W3CDTF">2020-10-17T11:57:00Z</dcterms:modified>
</cp:coreProperties>
</file>